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3B" w:rsidRDefault="005E7AA1" w:rsidP="005E7AA1">
      <w:pPr>
        <w:pStyle w:val="Heading1"/>
      </w:pPr>
      <w:r>
        <w:t>The Lead and Copper Rule</w:t>
      </w:r>
    </w:p>
    <w:p w:rsidR="005E7AA1" w:rsidRPr="005E7AA1" w:rsidRDefault="005E7AA1" w:rsidP="005E7AA1">
      <w:pPr>
        <w:shd w:val="clear" w:color="auto" w:fill="FFFFFF"/>
        <w:spacing w:before="135" w:after="135" w:line="240" w:lineRule="auto"/>
        <w:jc w:val="both"/>
        <w:rPr>
          <w:rFonts w:ascii="Verdana" w:eastAsia="Times New Roman" w:hAnsi="Verdana" w:cs="Times New Roman"/>
          <w:color w:val="000000"/>
          <w:sz w:val="20"/>
          <w:szCs w:val="20"/>
        </w:rPr>
      </w:pPr>
      <w:r w:rsidRPr="005E7AA1">
        <w:rPr>
          <w:rFonts w:ascii="Verdana" w:eastAsia="Times New Roman" w:hAnsi="Verdana" w:cs="Times New Roman"/>
          <w:color w:val="000000"/>
          <w:sz w:val="20"/>
          <w:szCs w:val="20"/>
        </w:rPr>
        <w:t>The purpose of the lead and copper rule is to protect public health by minimizing lead and copper levels in drinking water. Because lead and copper in drinking water is mainly due to the corrosion of service lines and household plumbing, tap water samples are collected at kitchen or bathroom taps of residence and other buildings. Public health benefits include;</w:t>
      </w:r>
    </w:p>
    <w:p w:rsidR="005E7AA1" w:rsidRPr="005E7AA1" w:rsidRDefault="005E7AA1" w:rsidP="005E7AA1">
      <w:pPr>
        <w:numPr>
          <w:ilvl w:val="0"/>
          <w:numId w:val="1"/>
        </w:numPr>
        <w:shd w:val="clear" w:color="auto" w:fill="FFFFFF"/>
        <w:spacing w:before="100" w:beforeAutospacing="1" w:after="120" w:line="240" w:lineRule="auto"/>
        <w:rPr>
          <w:rFonts w:ascii="Verdana" w:eastAsia="Times New Roman" w:hAnsi="Verdana" w:cs="Times New Roman"/>
          <w:color w:val="000000"/>
          <w:sz w:val="18"/>
          <w:szCs w:val="18"/>
        </w:rPr>
      </w:pPr>
      <w:r w:rsidRPr="005E7AA1">
        <w:rPr>
          <w:rFonts w:ascii="Verdana" w:eastAsia="Times New Roman" w:hAnsi="Verdana" w:cs="Times New Roman"/>
          <w:color w:val="000000"/>
          <w:sz w:val="20"/>
          <w:szCs w:val="20"/>
        </w:rPr>
        <w:t>Reduction in risk of lead exposure, which can cause damage to the brain, red blood cells and kidneys, especially for young children.</w:t>
      </w:r>
    </w:p>
    <w:p w:rsidR="005E7AA1" w:rsidRPr="005E7AA1" w:rsidRDefault="005E7AA1" w:rsidP="005E7AA1">
      <w:pPr>
        <w:numPr>
          <w:ilvl w:val="0"/>
          <w:numId w:val="2"/>
        </w:numPr>
        <w:shd w:val="clear" w:color="auto" w:fill="FFFFFF"/>
        <w:spacing w:before="100" w:beforeAutospacing="1" w:after="120" w:line="240" w:lineRule="auto"/>
        <w:rPr>
          <w:rFonts w:ascii="Verdana" w:eastAsia="Times New Roman" w:hAnsi="Verdana" w:cs="Times New Roman"/>
          <w:color w:val="000000"/>
          <w:sz w:val="18"/>
          <w:szCs w:val="18"/>
        </w:rPr>
      </w:pPr>
      <w:r w:rsidRPr="005E7AA1">
        <w:rPr>
          <w:rFonts w:ascii="Verdana" w:eastAsia="Times New Roman" w:hAnsi="Verdana" w:cs="Times New Roman"/>
          <w:color w:val="000000"/>
          <w:sz w:val="20"/>
          <w:szCs w:val="20"/>
        </w:rPr>
        <w:t>Reduction in risk of copper exposure, which can cause stomach and intestinal distress, liver and kidney damage.</w:t>
      </w:r>
    </w:p>
    <w:p w:rsidR="005E7AA1" w:rsidRDefault="005E7AA1" w:rsidP="005E7AA1">
      <w:pPr>
        <w:shd w:val="clear" w:color="auto" w:fill="FFFFFF"/>
        <w:spacing w:before="100" w:beforeAutospacing="1" w:after="120" w:line="240" w:lineRule="auto"/>
        <w:rPr>
          <w:rFonts w:ascii="Verdana" w:eastAsia="Times New Roman" w:hAnsi="Verdana" w:cs="Times New Roman"/>
          <w:color w:val="000000"/>
          <w:sz w:val="20"/>
          <w:szCs w:val="20"/>
        </w:rPr>
      </w:pPr>
    </w:p>
    <w:p w:rsidR="005E7AA1" w:rsidRDefault="005E7AA1" w:rsidP="005E7AA1">
      <w:pPr>
        <w:pStyle w:val="Heading2"/>
      </w:pPr>
      <w:r>
        <w:t>Monitoring Requirements</w:t>
      </w:r>
    </w:p>
    <w:p w:rsidR="005E7AA1" w:rsidRDefault="005E7AA1" w:rsidP="005E7AA1">
      <w:pPr>
        <w:shd w:val="clear" w:color="auto" w:fill="FFFFFF"/>
        <w:spacing w:before="100" w:beforeAutospacing="1" w:after="120" w:line="240" w:lineRule="auto"/>
        <w:rPr>
          <w:rFonts w:ascii="Verdana" w:hAnsi="Verdana"/>
          <w:color w:val="000000"/>
          <w:sz w:val="20"/>
          <w:szCs w:val="20"/>
          <w:shd w:val="clear" w:color="auto" w:fill="FFFFFF"/>
        </w:rPr>
      </w:pPr>
      <w:r>
        <w:rPr>
          <w:rFonts w:ascii="Verdana" w:hAnsi="Verdana"/>
          <w:color w:val="000000"/>
          <w:sz w:val="20"/>
          <w:szCs w:val="20"/>
          <w:shd w:val="clear" w:color="auto" w:fill="FFFFFF"/>
        </w:rPr>
        <w:t>The number of required samples and frequency of monitoring is based on the population served by the water system, and its most recent rounds of lead and copper sample results.</w:t>
      </w:r>
    </w:p>
    <w:p w:rsidR="005E7AA1" w:rsidRDefault="005E7AA1" w:rsidP="005E7AA1">
      <w:pPr>
        <w:shd w:val="clear" w:color="auto" w:fill="FFFFFF"/>
        <w:spacing w:before="100" w:beforeAutospacing="1" w:after="120" w:line="240" w:lineRule="auto"/>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Check </w:t>
      </w:r>
      <w:commentRangeStart w:id="0"/>
      <w:proofErr w:type="spellStart"/>
      <w:r w:rsidRPr="005E7AA1">
        <w:rPr>
          <w:rFonts w:ascii="Verdana" w:hAnsi="Verdana"/>
          <w:color w:val="000000"/>
          <w:sz w:val="20"/>
          <w:szCs w:val="20"/>
          <w:highlight w:val="yellow"/>
          <w:shd w:val="clear" w:color="auto" w:fill="FFFFFF"/>
        </w:rPr>
        <w:t>waterLink</w:t>
      </w:r>
      <w:commentRangeEnd w:id="0"/>
      <w:proofErr w:type="spellEnd"/>
      <w:r w:rsidR="00BD69C5">
        <w:rPr>
          <w:rStyle w:val="CommentReference"/>
        </w:rPr>
        <w:commentReference w:id="0"/>
      </w:r>
      <w:r>
        <w:rPr>
          <w:rFonts w:ascii="Verdana" w:hAnsi="Verdana"/>
          <w:color w:val="000000"/>
          <w:sz w:val="20"/>
          <w:szCs w:val="20"/>
          <w:shd w:val="clear" w:color="auto" w:fill="FFFFFF"/>
        </w:rPr>
        <w:t xml:space="preserve"> to see when your water system is scheduled to conduct sampling. </w:t>
      </w:r>
      <w:r w:rsidR="00D46E5E">
        <w:rPr>
          <w:rFonts w:ascii="Verdana" w:hAnsi="Verdana"/>
          <w:color w:val="000000"/>
          <w:sz w:val="20"/>
          <w:szCs w:val="20"/>
          <w:shd w:val="clear" w:color="auto" w:fill="FFFFFF"/>
        </w:rPr>
        <w:t xml:space="preserve">If you are on reduced monitoring (sampling yearly or once every 3 years), then your lead and copper </w:t>
      </w:r>
      <w:r w:rsidR="00D46E5E" w:rsidRPr="00D46E5E">
        <w:rPr>
          <w:rFonts w:ascii="Verdana" w:hAnsi="Verdana"/>
          <w:b/>
          <w:color w:val="000000"/>
          <w:sz w:val="20"/>
          <w:szCs w:val="20"/>
          <w:shd w:val="clear" w:color="auto" w:fill="FFFFFF"/>
        </w:rPr>
        <w:t>samples are required to be collected in the June 1 through September 30</w:t>
      </w:r>
      <w:r w:rsidR="00D46E5E" w:rsidRPr="00D46E5E">
        <w:rPr>
          <w:rFonts w:ascii="Verdana" w:hAnsi="Verdana"/>
          <w:b/>
          <w:color w:val="000000"/>
          <w:sz w:val="20"/>
          <w:szCs w:val="20"/>
          <w:shd w:val="clear" w:color="auto" w:fill="FFFFFF"/>
          <w:vertAlign w:val="superscript"/>
        </w:rPr>
        <w:t>th</w:t>
      </w:r>
      <w:r w:rsidR="00D46E5E">
        <w:rPr>
          <w:rFonts w:ascii="Verdana" w:hAnsi="Verdana"/>
          <w:color w:val="000000"/>
          <w:sz w:val="20"/>
          <w:szCs w:val="20"/>
          <w:shd w:val="clear" w:color="auto" w:fill="FFFFFF"/>
        </w:rPr>
        <w:t xml:space="preserve"> time frame. </w:t>
      </w:r>
    </w:p>
    <w:p w:rsidR="005E7AA1" w:rsidRDefault="0025382A" w:rsidP="005E7AA1">
      <w:pPr>
        <w:shd w:val="clear" w:color="auto" w:fill="FFFFFF"/>
        <w:spacing w:before="100" w:beforeAutospacing="1" w:after="120" w:line="240" w:lineRule="auto"/>
        <w:rPr>
          <w:rFonts w:ascii="Verdana" w:hAnsi="Verdana"/>
          <w:color w:val="000000"/>
          <w:sz w:val="20"/>
          <w:szCs w:val="20"/>
          <w:shd w:val="clear" w:color="auto" w:fill="FFFFFF"/>
        </w:rPr>
      </w:pPr>
      <w:r>
        <w:rPr>
          <w:noProof/>
        </w:rPr>
        <w:drawing>
          <wp:inline distT="0" distB="0" distL="0" distR="0" wp14:anchorId="7F069551" wp14:editId="7C63D229">
            <wp:extent cx="5943600" cy="1423035"/>
            <wp:effectExtent l="0" t="0" r="0" b="571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11" t="76177" r="-1011"/>
                    <a:stretch/>
                  </pic:blipFill>
                  <pic:spPr bwMode="auto">
                    <a:xfrm>
                      <a:off x="0" y="0"/>
                      <a:ext cx="5943600" cy="1423035"/>
                    </a:xfrm>
                    <a:prstGeom prst="rect">
                      <a:avLst/>
                    </a:prstGeom>
                    <a:noFill/>
                    <a:ln>
                      <a:noFill/>
                    </a:ln>
                    <a:effectLst/>
                    <a:extLst/>
                  </pic:spPr>
                </pic:pic>
              </a:graphicData>
            </a:graphic>
          </wp:inline>
        </w:drawing>
      </w:r>
    </w:p>
    <w:p w:rsidR="0025382A" w:rsidRDefault="0025382A" w:rsidP="005E7AA1">
      <w:pPr>
        <w:pStyle w:val="Heading2"/>
        <w:rPr>
          <w:shd w:val="clear" w:color="auto" w:fill="FFFFFF"/>
        </w:rPr>
      </w:pPr>
    </w:p>
    <w:p w:rsidR="005E7AA1" w:rsidRDefault="005E7AA1" w:rsidP="005E7AA1">
      <w:pPr>
        <w:pStyle w:val="Heading2"/>
        <w:rPr>
          <w:shd w:val="clear" w:color="auto" w:fill="FFFFFF"/>
        </w:rPr>
      </w:pPr>
      <w:r>
        <w:rPr>
          <w:shd w:val="clear" w:color="auto" w:fill="FFFFFF"/>
        </w:rPr>
        <w:t>Sample Site Plans</w:t>
      </w:r>
    </w:p>
    <w:p w:rsidR="005E7AA1" w:rsidRDefault="005E7AA1" w:rsidP="005E7AA1">
      <w:pPr>
        <w:shd w:val="clear" w:color="auto" w:fill="FFFFFF"/>
        <w:spacing w:before="100" w:beforeAutospacing="1" w:after="120" w:line="240" w:lineRule="auto"/>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Systems are required to have a lead and copper samples site plant to identify residences and other locations most likely to have high levels of lead and/or copper. </w:t>
      </w:r>
    </w:p>
    <w:p w:rsidR="005E7AA1" w:rsidRPr="005E7AA1" w:rsidRDefault="005E7AA1" w:rsidP="005E7AA1">
      <w:pPr>
        <w:pStyle w:val="ListParagraph"/>
        <w:numPr>
          <w:ilvl w:val="0"/>
          <w:numId w:val="3"/>
        </w:numPr>
        <w:shd w:val="clear" w:color="auto" w:fill="FFFFFF"/>
        <w:spacing w:before="100" w:beforeAutospacing="1" w:after="120" w:line="240" w:lineRule="auto"/>
        <w:rPr>
          <w:rFonts w:ascii="Verdana" w:hAnsi="Verdana"/>
          <w:color w:val="000000"/>
          <w:sz w:val="20"/>
          <w:szCs w:val="20"/>
          <w:highlight w:val="yellow"/>
          <w:shd w:val="clear" w:color="auto" w:fill="FFFFFF"/>
        </w:rPr>
      </w:pPr>
      <w:r w:rsidRPr="005E7AA1">
        <w:rPr>
          <w:rFonts w:ascii="Verdana" w:hAnsi="Verdana"/>
          <w:color w:val="000000"/>
          <w:sz w:val="20"/>
          <w:szCs w:val="20"/>
          <w:highlight w:val="yellow"/>
          <w:shd w:val="clear" w:color="auto" w:fill="FFFFFF"/>
        </w:rPr>
        <w:t>Sample Site Plan Full Packet</w:t>
      </w:r>
    </w:p>
    <w:p w:rsidR="005E7AA1" w:rsidRPr="005E7AA1" w:rsidRDefault="005E7AA1" w:rsidP="005E7AA1">
      <w:pPr>
        <w:pStyle w:val="ListParagraph"/>
        <w:numPr>
          <w:ilvl w:val="0"/>
          <w:numId w:val="3"/>
        </w:numPr>
        <w:shd w:val="clear" w:color="auto" w:fill="FFFFFF"/>
        <w:spacing w:before="100" w:beforeAutospacing="1" w:after="120" w:line="240" w:lineRule="auto"/>
        <w:rPr>
          <w:rFonts w:ascii="Verdana" w:hAnsi="Verdana"/>
          <w:color w:val="000000"/>
          <w:sz w:val="20"/>
          <w:szCs w:val="20"/>
          <w:highlight w:val="yellow"/>
          <w:shd w:val="clear" w:color="auto" w:fill="FFFFFF"/>
        </w:rPr>
      </w:pPr>
      <w:r w:rsidRPr="005E7AA1">
        <w:rPr>
          <w:rFonts w:ascii="Verdana" w:hAnsi="Verdana"/>
          <w:color w:val="000000"/>
          <w:sz w:val="20"/>
          <w:szCs w:val="20"/>
          <w:highlight w:val="yellow"/>
          <w:shd w:val="clear" w:color="auto" w:fill="FFFFFF"/>
        </w:rPr>
        <w:t>Sample Site Plan Form</w:t>
      </w:r>
    </w:p>
    <w:p w:rsidR="005E7AA1" w:rsidRDefault="0025382A" w:rsidP="0025382A">
      <w:pPr>
        <w:shd w:val="clear" w:color="auto" w:fill="FFFFFF"/>
        <w:spacing w:before="100" w:beforeAutospacing="1" w:after="120" w:line="240" w:lineRule="auto"/>
        <w:jc w:val="center"/>
        <w:rPr>
          <w:rFonts w:ascii="Verdana" w:hAnsi="Verdana"/>
          <w:color w:val="000000"/>
          <w:sz w:val="20"/>
          <w:szCs w:val="20"/>
          <w:shd w:val="clear" w:color="auto" w:fill="FFFFFF"/>
        </w:rPr>
      </w:pPr>
      <w:r>
        <w:rPr>
          <w:rFonts w:ascii="Verdana" w:hAnsi="Verdana"/>
          <w:noProof/>
          <w:color w:val="000000"/>
          <w:sz w:val="20"/>
          <w:szCs w:val="20"/>
          <w:shd w:val="clear" w:color="auto" w:fill="FFFFFF"/>
        </w:rPr>
        <w:lastRenderedPageBreak/>
        <w:drawing>
          <wp:inline distT="0" distB="0" distL="0" distR="0" wp14:anchorId="5A844154">
            <wp:extent cx="5587095" cy="2370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9988" cy="2372208"/>
                    </a:xfrm>
                    <a:prstGeom prst="rect">
                      <a:avLst/>
                    </a:prstGeom>
                    <a:noFill/>
                  </pic:spPr>
                </pic:pic>
              </a:graphicData>
            </a:graphic>
          </wp:inline>
        </w:drawing>
      </w:r>
    </w:p>
    <w:p w:rsidR="005E7AA1" w:rsidRDefault="005E7AA1" w:rsidP="005E7AA1">
      <w:pPr>
        <w:pStyle w:val="Heading2"/>
        <w:rPr>
          <w:shd w:val="clear" w:color="auto" w:fill="FFFFFF"/>
        </w:rPr>
      </w:pPr>
      <w:r>
        <w:rPr>
          <w:shd w:val="clear" w:color="auto" w:fill="FFFFFF"/>
        </w:rPr>
        <w:t>Sampling Procedure Guidance for Homeowners</w:t>
      </w:r>
    </w:p>
    <w:p w:rsidR="005E7AA1" w:rsidRDefault="005E7AA1" w:rsidP="005E7AA1">
      <w:r>
        <w:t>Do not sample from vacant homes or from outside spigots.  On February 29, 2016 EPA released updated instructions on sampling.</w:t>
      </w:r>
    </w:p>
    <w:p w:rsidR="005E7AA1" w:rsidRDefault="000F5DB2" w:rsidP="005E7AA1">
      <w:pPr>
        <w:pStyle w:val="ListParagraph"/>
        <w:numPr>
          <w:ilvl w:val="0"/>
          <w:numId w:val="4"/>
        </w:numPr>
        <w:rPr>
          <w:highlight w:val="yellow"/>
        </w:rPr>
      </w:pPr>
      <w:r>
        <w:rPr>
          <w:highlight w:val="yellow"/>
        </w:rPr>
        <w:t>Sampling</w:t>
      </w:r>
      <w:r w:rsidR="005E7AA1" w:rsidRPr="005E7AA1">
        <w:rPr>
          <w:highlight w:val="yellow"/>
        </w:rPr>
        <w:t xml:space="preserve"> Procedure</w:t>
      </w:r>
      <w:r>
        <w:rPr>
          <w:highlight w:val="yellow"/>
        </w:rPr>
        <w:t xml:space="preserve"> Guidance</w:t>
      </w:r>
      <w:r w:rsidR="005E7AA1" w:rsidRPr="005E7AA1">
        <w:rPr>
          <w:highlight w:val="yellow"/>
        </w:rPr>
        <w:t xml:space="preserve"> for Homeowners</w:t>
      </w:r>
    </w:p>
    <w:p w:rsidR="000F5DB2" w:rsidRPr="005E7AA1" w:rsidRDefault="000F5DB2" w:rsidP="005E7AA1">
      <w:pPr>
        <w:pStyle w:val="ListParagraph"/>
        <w:numPr>
          <w:ilvl w:val="0"/>
          <w:numId w:val="4"/>
        </w:numPr>
        <w:rPr>
          <w:highlight w:val="yellow"/>
        </w:rPr>
      </w:pPr>
      <w:r>
        <w:rPr>
          <w:highlight w:val="yellow"/>
        </w:rPr>
        <w:t>Sampling Procedure Guidance for Homeowners (Spanish)</w:t>
      </w:r>
    </w:p>
    <w:p w:rsidR="005E7AA1" w:rsidRDefault="005E7AA1" w:rsidP="005E7AA1">
      <w:r>
        <w:t xml:space="preserve">Systems are required to notify the residents of the sample results from their home.  You can use the attached template to notify the homeowners.  You must certify to the state that you have distributed the notices by filling out the online or </w:t>
      </w:r>
      <w:r w:rsidR="005F1EF2">
        <w:t>PDF</w:t>
      </w:r>
      <w:r>
        <w:t xml:space="preserve"> version of the Consumer Notification Certification Form.  </w:t>
      </w:r>
    </w:p>
    <w:p w:rsidR="005E7AA1" w:rsidRPr="000F5DB2" w:rsidRDefault="000F5DB2" w:rsidP="005E7AA1">
      <w:pPr>
        <w:pStyle w:val="ListParagraph"/>
        <w:numPr>
          <w:ilvl w:val="0"/>
          <w:numId w:val="4"/>
        </w:numPr>
        <w:rPr>
          <w:highlight w:val="yellow"/>
        </w:rPr>
      </w:pPr>
      <w:r w:rsidRPr="000F5DB2">
        <w:rPr>
          <w:highlight w:val="yellow"/>
        </w:rPr>
        <w:t>Consumer Notice Template of Lead and Copper Sample Results: PDF and DOC</w:t>
      </w:r>
    </w:p>
    <w:p w:rsidR="000F5DB2" w:rsidRPr="000F5DB2" w:rsidRDefault="000F5DB2" w:rsidP="005E7AA1">
      <w:pPr>
        <w:pStyle w:val="ListParagraph"/>
        <w:numPr>
          <w:ilvl w:val="0"/>
          <w:numId w:val="4"/>
        </w:numPr>
        <w:rPr>
          <w:highlight w:val="yellow"/>
        </w:rPr>
      </w:pPr>
      <w:commentRangeStart w:id="1"/>
      <w:r w:rsidRPr="000F5DB2">
        <w:rPr>
          <w:highlight w:val="yellow"/>
        </w:rPr>
        <w:t xml:space="preserve">Consumer Notice Certification Form: Online </w:t>
      </w:r>
      <w:commentRangeEnd w:id="1"/>
      <w:r w:rsidR="005F1EF2">
        <w:rPr>
          <w:rStyle w:val="CommentReference"/>
        </w:rPr>
        <w:commentReference w:id="1"/>
      </w:r>
    </w:p>
    <w:p w:rsidR="000F5DB2" w:rsidRPr="000F5DB2" w:rsidRDefault="000F5DB2" w:rsidP="005E7AA1">
      <w:pPr>
        <w:pStyle w:val="ListParagraph"/>
        <w:numPr>
          <w:ilvl w:val="0"/>
          <w:numId w:val="4"/>
        </w:numPr>
        <w:rPr>
          <w:highlight w:val="yellow"/>
        </w:rPr>
      </w:pPr>
      <w:r w:rsidRPr="000F5DB2">
        <w:rPr>
          <w:highlight w:val="yellow"/>
        </w:rPr>
        <w:t xml:space="preserve">Consumer </w:t>
      </w:r>
      <w:r w:rsidR="005F1EF2">
        <w:rPr>
          <w:highlight w:val="yellow"/>
        </w:rPr>
        <w:t>Notice Certification Form: PDF</w:t>
      </w:r>
    </w:p>
    <w:p w:rsidR="000F5DB2" w:rsidRDefault="000F5DB2" w:rsidP="005E7AA1">
      <w:pPr>
        <w:pStyle w:val="Heading2"/>
      </w:pPr>
    </w:p>
    <w:p w:rsidR="005E7AA1" w:rsidRDefault="000F5DB2" w:rsidP="005E7AA1">
      <w:pPr>
        <w:pStyle w:val="Heading2"/>
      </w:pPr>
      <w:r>
        <w:t xml:space="preserve">Calculating </w:t>
      </w:r>
      <w:r w:rsidR="005E7AA1">
        <w:t>Compliance</w:t>
      </w:r>
    </w:p>
    <w:p w:rsidR="000F5DB2" w:rsidRDefault="000F5DB2" w:rsidP="000F5DB2">
      <w:r w:rsidRPr="000F5DB2">
        <w:t>Sample results are evaluated against an action level. The lead action level is exceeded if the concentration in more than 10% of samples is greater than 0.015 mg/L (i.e. the 90th percentile lead level is greater than 0.015 mg/L). The copper action level is exceeded if the concentration in more than 10% of samples is greater than 1.3 mg/L (i.e. the 90th percentile copper level is greater than 1.3 mg/L).</w:t>
      </w:r>
    </w:p>
    <w:p w:rsidR="000F5DB2" w:rsidRPr="0025382A" w:rsidRDefault="000F5DB2" w:rsidP="000F5DB2">
      <w:pPr>
        <w:pStyle w:val="ListParagraph"/>
        <w:numPr>
          <w:ilvl w:val="0"/>
          <w:numId w:val="6"/>
        </w:numPr>
        <w:rPr>
          <w:highlight w:val="yellow"/>
        </w:rPr>
      </w:pPr>
      <w:r w:rsidRPr="0025382A">
        <w:rPr>
          <w:highlight w:val="yellow"/>
        </w:rPr>
        <w:t>Summary Sheet and 90</w:t>
      </w:r>
      <w:r w:rsidRPr="0025382A">
        <w:rPr>
          <w:highlight w:val="yellow"/>
          <w:vertAlign w:val="superscript"/>
        </w:rPr>
        <w:t>th</w:t>
      </w:r>
      <w:r w:rsidRPr="0025382A">
        <w:rPr>
          <w:highlight w:val="yellow"/>
        </w:rPr>
        <w:t xml:space="preserve"> Percentile Calculator (excel)</w:t>
      </w:r>
    </w:p>
    <w:p w:rsidR="000F5DB2" w:rsidRDefault="000F5DB2" w:rsidP="000F5DB2">
      <w:r>
        <w:t xml:space="preserve">If your lead or copper </w:t>
      </w:r>
      <w:r w:rsidR="0025382A">
        <w:t>90</w:t>
      </w:r>
      <w:r w:rsidR="0025382A" w:rsidRPr="0025382A">
        <w:rPr>
          <w:vertAlign w:val="superscript"/>
        </w:rPr>
        <w:t>th</w:t>
      </w:r>
      <w:r w:rsidR="0025382A">
        <w:t xml:space="preserve"> percentile result exceeds the action level, contact the Division immediately.  </w:t>
      </w:r>
    </w:p>
    <w:p w:rsidR="000F5DB2" w:rsidRDefault="000F5DB2" w:rsidP="000F5DB2"/>
    <w:p w:rsidR="0025382A" w:rsidRDefault="0025382A" w:rsidP="0025382A">
      <w:pPr>
        <w:pStyle w:val="Heading2"/>
      </w:pPr>
      <w:r>
        <w:t>Action Level Exceedance</w:t>
      </w:r>
    </w:p>
    <w:p w:rsidR="0025382A" w:rsidRDefault="0025382A" w:rsidP="000F5DB2"/>
    <w:p w:rsidR="0025382A" w:rsidRDefault="0025382A" w:rsidP="000F5DB2">
      <w:r>
        <w:t xml:space="preserve">If there is a lead or copper action level exceedance, the water system will be moved back their initial monitoring count and will be sampling for lead and copper every six months.  </w:t>
      </w:r>
    </w:p>
    <w:p w:rsidR="005F1EF2" w:rsidRDefault="0025382A" w:rsidP="000F5DB2">
      <w:r>
        <w:t>The system will need to conduct water quality parameter monitoring and source water monitoring.  The system will be expected to prepare a Corrosion Control Treatment Recommendation to the Division</w:t>
      </w:r>
      <w:r w:rsidR="005F1EF2">
        <w:t xml:space="preserve"> and release public education</w:t>
      </w:r>
      <w:r>
        <w:t xml:space="preserve">. </w:t>
      </w:r>
    </w:p>
    <w:p w:rsidR="005F1EF2" w:rsidRDefault="005F1EF2" w:rsidP="00D46E5E">
      <w:pPr>
        <w:pStyle w:val="ListParagraph"/>
        <w:numPr>
          <w:ilvl w:val="0"/>
          <w:numId w:val="6"/>
        </w:numPr>
        <w:rPr>
          <w:highlight w:val="yellow"/>
        </w:rPr>
      </w:pPr>
      <w:r>
        <w:rPr>
          <w:highlight w:val="yellow"/>
        </w:rPr>
        <w:t>ALE Public Education Requirements</w:t>
      </w:r>
    </w:p>
    <w:p w:rsidR="00D46E5E" w:rsidRPr="00D46E5E" w:rsidRDefault="005F1EF2" w:rsidP="00D46E5E">
      <w:pPr>
        <w:pStyle w:val="ListParagraph"/>
        <w:numPr>
          <w:ilvl w:val="0"/>
          <w:numId w:val="6"/>
        </w:numPr>
        <w:rPr>
          <w:highlight w:val="yellow"/>
        </w:rPr>
      </w:pPr>
      <w:r w:rsidRPr="00D46E5E">
        <w:rPr>
          <w:highlight w:val="yellow"/>
        </w:rPr>
        <w:t>EPA Guidance</w:t>
      </w:r>
      <w:r w:rsidRPr="00D46E5E">
        <w:rPr>
          <w:highlight w:val="yellow"/>
        </w:rPr>
        <w:t xml:space="preserve"> </w:t>
      </w:r>
      <w:r>
        <w:rPr>
          <w:highlight w:val="yellow"/>
        </w:rPr>
        <w:t xml:space="preserve"> on </w:t>
      </w:r>
      <w:r w:rsidR="00D46E5E" w:rsidRPr="00D46E5E">
        <w:rPr>
          <w:highlight w:val="yellow"/>
        </w:rPr>
        <w:t xml:space="preserve">Corrosion Control Treatment Recommendation </w:t>
      </w:r>
    </w:p>
    <w:p w:rsidR="00D46E5E" w:rsidRDefault="00D46E5E" w:rsidP="00D46E5E">
      <w:r>
        <w:t>If the system completes two rounds of initial monitoring with 90</w:t>
      </w:r>
      <w:r w:rsidRPr="00D46E5E">
        <w:rPr>
          <w:vertAlign w:val="superscript"/>
        </w:rPr>
        <w:t>th</w:t>
      </w:r>
      <w:r>
        <w:t xml:space="preserve"> percentile results below the action level, they can stop the corrosion control process. </w:t>
      </w:r>
    </w:p>
    <w:p w:rsidR="0025382A" w:rsidRDefault="0025382A" w:rsidP="000F5DB2"/>
    <w:p w:rsidR="00D46E5E" w:rsidRDefault="00D46E5E" w:rsidP="00D46E5E">
      <w:pPr>
        <w:pStyle w:val="Heading2"/>
      </w:pPr>
      <w:r>
        <w:t>Additional Resources</w:t>
      </w:r>
    </w:p>
    <w:p w:rsidR="000F5DB2" w:rsidRPr="005F1EF2" w:rsidRDefault="005F1EF2" w:rsidP="000F5DB2">
      <w:pPr>
        <w:pStyle w:val="ListParagraph"/>
        <w:numPr>
          <w:ilvl w:val="0"/>
          <w:numId w:val="5"/>
        </w:numPr>
        <w:rPr>
          <w:highlight w:val="cyan"/>
        </w:rPr>
      </w:pPr>
      <w:r w:rsidRPr="005F1EF2">
        <w:rPr>
          <w:highlight w:val="cyan"/>
        </w:rPr>
        <w:t>Lead S</w:t>
      </w:r>
      <w:r w:rsidR="000F5DB2" w:rsidRPr="005F1EF2">
        <w:rPr>
          <w:highlight w:val="cyan"/>
        </w:rPr>
        <w:t>ampling in Schools</w:t>
      </w:r>
    </w:p>
    <w:p w:rsidR="000F5DB2" w:rsidRPr="00E5133E" w:rsidRDefault="000F5DB2" w:rsidP="000F5DB2">
      <w:pPr>
        <w:pStyle w:val="ListParagraph"/>
        <w:numPr>
          <w:ilvl w:val="0"/>
          <w:numId w:val="5"/>
        </w:numPr>
        <w:rPr>
          <w:highlight w:val="yellow"/>
        </w:rPr>
      </w:pPr>
      <w:r w:rsidRPr="00E5133E">
        <w:rPr>
          <w:highlight w:val="yellow"/>
        </w:rPr>
        <w:t>90</w:t>
      </w:r>
      <w:r w:rsidRPr="00E5133E">
        <w:rPr>
          <w:highlight w:val="yellow"/>
          <w:vertAlign w:val="superscript"/>
        </w:rPr>
        <w:t>th</w:t>
      </w:r>
      <w:r w:rsidRPr="00E5133E">
        <w:rPr>
          <w:highlight w:val="yellow"/>
        </w:rPr>
        <w:t xml:space="preserve"> Percentile Values for all Utah Water Systems</w:t>
      </w:r>
      <w:r w:rsidR="0025382A" w:rsidRPr="00E5133E">
        <w:rPr>
          <w:highlight w:val="yellow"/>
        </w:rPr>
        <w:t xml:space="preserve"> </w:t>
      </w:r>
      <w:r w:rsidR="00E5133E" w:rsidRPr="00E5133E">
        <w:rPr>
          <w:highlight w:val="yellow"/>
        </w:rPr>
        <w:t>(Jan 2017)</w:t>
      </w:r>
    </w:p>
    <w:p w:rsidR="000F5DB2" w:rsidRPr="00E5133E" w:rsidRDefault="0025382A" w:rsidP="000F5DB2">
      <w:pPr>
        <w:pStyle w:val="ListParagraph"/>
        <w:numPr>
          <w:ilvl w:val="0"/>
          <w:numId w:val="5"/>
        </w:numPr>
        <w:rPr>
          <w:highlight w:val="yellow"/>
        </w:rPr>
      </w:pPr>
      <w:r w:rsidRPr="00E5133E">
        <w:rPr>
          <w:highlight w:val="yellow"/>
        </w:rPr>
        <w:t xml:space="preserve">Lead </w:t>
      </w:r>
      <w:r w:rsidR="000F5DB2" w:rsidRPr="00E5133E">
        <w:rPr>
          <w:highlight w:val="yellow"/>
        </w:rPr>
        <w:t>F</w:t>
      </w:r>
      <w:r w:rsidRPr="00E5133E">
        <w:rPr>
          <w:highlight w:val="yellow"/>
        </w:rPr>
        <w:t>requently Asked Questions (FAQ’s)</w:t>
      </w:r>
    </w:p>
    <w:p w:rsidR="00E5133E" w:rsidRPr="00E5133E" w:rsidRDefault="00E5133E" w:rsidP="000F5DB2">
      <w:pPr>
        <w:pStyle w:val="ListParagraph"/>
        <w:numPr>
          <w:ilvl w:val="0"/>
          <w:numId w:val="5"/>
        </w:numPr>
        <w:rPr>
          <w:highlight w:val="yellow"/>
        </w:rPr>
      </w:pPr>
      <w:bookmarkStart w:id="2" w:name="OLE_LINK1"/>
      <w:r w:rsidRPr="00E5133E">
        <w:rPr>
          <w:highlight w:val="yellow"/>
        </w:rPr>
        <w:t>Lead and Copper:  A Quick Reference Guide</w:t>
      </w:r>
    </w:p>
    <w:p w:rsidR="00D46E5E" w:rsidRPr="000F5DB2" w:rsidRDefault="00D46E5E" w:rsidP="00D46E5E">
      <w:pPr>
        <w:pStyle w:val="ListParagraph"/>
      </w:pPr>
      <w:bookmarkStart w:id="3" w:name="_GoBack"/>
      <w:bookmarkEnd w:id="2"/>
      <w:bookmarkEnd w:id="3"/>
    </w:p>
    <w:p w:rsidR="005E7AA1" w:rsidRDefault="005E7AA1" w:rsidP="005E7AA1">
      <w:pPr>
        <w:shd w:val="clear" w:color="auto" w:fill="FFFFFF"/>
        <w:spacing w:before="100" w:beforeAutospacing="1" w:after="120" w:line="240" w:lineRule="auto"/>
        <w:rPr>
          <w:rFonts w:ascii="Verdana" w:hAnsi="Verdana"/>
          <w:color w:val="000000"/>
          <w:sz w:val="20"/>
          <w:szCs w:val="20"/>
          <w:shd w:val="clear" w:color="auto" w:fill="FFFFFF"/>
        </w:rPr>
      </w:pPr>
    </w:p>
    <w:p w:rsidR="005E7AA1" w:rsidRDefault="005E7AA1" w:rsidP="005E7AA1">
      <w:pPr>
        <w:shd w:val="clear" w:color="auto" w:fill="FFFFFF"/>
        <w:spacing w:before="100" w:beforeAutospacing="1" w:after="120" w:line="240" w:lineRule="auto"/>
        <w:rPr>
          <w:rFonts w:ascii="Verdana" w:hAnsi="Verdana"/>
          <w:color w:val="000000"/>
          <w:sz w:val="20"/>
          <w:szCs w:val="20"/>
          <w:shd w:val="clear" w:color="auto" w:fill="FFFFFF"/>
        </w:rPr>
      </w:pPr>
    </w:p>
    <w:p w:rsidR="005E7AA1" w:rsidRPr="005E7AA1" w:rsidRDefault="005E7AA1" w:rsidP="005E7AA1">
      <w:pPr>
        <w:shd w:val="clear" w:color="auto" w:fill="FFFFFF"/>
        <w:spacing w:before="100" w:beforeAutospacing="1" w:after="120" w:line="240" w:lineRule="auto"/>
        <w:rPr>
          <w:rFonts w:ascii="Verdana" w:hAnsi="Verdana"/>
          <w:color w:val="000000"/>
          <w:sz w:val="20"/>
          <w:szCs w:val="20"/>
          <w:shd w:val="clear" w:color="auto" w:fill="FFFFFF"/>
        </w:rPr>
      </w:pPr>
    </w:p>
    <w:p w:rsidR="005E7AA1" w:rsidRDefault="005E7AA1"/>
    <w:sectPr w:rsidR="005E7AA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ily Frary" w:date="2017-03-22T10:44:00Z" w:initials="EF">
    <w:p w:rsidR="00BD69C5" w:rsidRDefault="00BD69C5">
      <w:pPr>
        <w:pStyle w:val="CommentText"/>
      </w:pPr>
      <w:r>
        <w:rPr>
          <w:rStyle w:val="CommentReference"/>
        </w:rPr>
        <w:annotationRef/>
      </w:r>
      <w:r w:rsidR="00E91D84" w:rsidRPr="00E91D84">
        <w:t>https://waterlink.utah.gov/deqWater/</w:t>
      </w:r>
    </w:p>
  </w:comment>
  <w:comment w:id="1" w:author="Emily Frary" w:date="2017-03-22T11:51:00Z" w:initials="EF">
    <w:p w:rsidR="005F1EF2" w:rsidRDefault="005F1EF2">
      <w:pPr>
        <w:pStyle w:val="CommentText"/>
      </w:pPr>
      <w:r>
        <w:rPr>
          <w:rStyle w:val="CommentReference"/>
        </w:rPr>
        <w:annotationRef/>
      </w:r>
      <w:hyperlink r:id="rId1" w:history="1">
        <w:r w:rsidRPr="003C2FCF">
          <w:rPr>
            <w:rStyle w:val="Hyperlink"/>
          </w:rPr>
          <w:t>https://docs.google.com/a/utah.gov/forms/d/e/1FAIpQLSeMte1XIKjpOM_n7opVTIa1zDIIYaNpJLguAtrxxo8zbWEoSg/viewform</w:t>
        </w:r>
      </w:hyperlink>
    </w:p>
    <w:p w:rsidR="005F1EF2" w:rsidRDefault="005F1EF2">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3332"/>
    <w:multiLevelType w:val="hybridMultilevel"/>
    <w:tmpl w:val="990E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B7F73"/>
    <w:multiLevelType w:val="multilevel"/>
    <w:tmpl w:val="80C0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3416D"/>
    <w:multiLevelType w:val="hybridMultilevel"/>
    <w:tmpl w:val="1C32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F4CBF"/>
    <w:multiLevelType w:val="hybridMultilevel"/>
    <w:tmpl w:val="2802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704B1"/>
    <w:multiLevelType w:val="hybridMultilevel"/>
    <w:tmpl w:val="5C8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671C4"/>
    <w:multiLevelType w:val="multilevel"/>
    <w:tmpl w:val="874E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A1"/>
    <w:rsid w:val="000F5DB2"/>
    <w:rsid w:val="0025382A"/>
    <w:rsid w:val="002539CA"/>
    <w:rsid w:val="005E7AA1"/>
    <w:rsid w:val="005F1EF2"/>
    <w:rsid w:val="00BD69C5"/>
    <w:rsid w:val="00D04658"/>
    <w:rsid w:val="00D46E5E"/>
    <w:rsid w:val="00E5133E"/>
    <w:rsid w:val="00E91D84"/>
    <w:rsid w:val="00F2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7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A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A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7A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7AA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E7AA1"/>
    <w:pPr>
      <w:ind w:left="720"/>
      <w:contextualSpacing/>
    </w:pPr>
  </w:style>
  <w:style w:type="paragraph" w:styleId="BalloonText">
    <w:name w:val="Balloon Text"/>
    <w:basedOn w:val="Normal"/>
    <w:link w:val="BalloonTextChar"/>
    <w:uiPriority w:val="99"/>
    <w:semiHidden/>
    <w:unhideWhenUsed/>
    <w:rsid w:val="00253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2A"/>
    <w:rPr>
      <w:rFonts w:ascii="Tahoma" w:hAnsi="Tahoma" w:cs="Tahoma"/>
      <w:sz w:val="16"/>
      <w:szCs w:val="16"/>
    </w:rPr>
  </w:style>
  <w:style w:type="character" w:styleId="CommentReference">
    <w:name w:val="annotation reference"/>
    <w:basedOn w:val="DefaultParagraphFont"/>
    <w:uiPriority w:val="99"/>
    <w:semiHidden/>
    <w:unhideWhenUsed/>
    <w:rsid w:val="00BD69C5"/>
    <w:rPr>
      <w:sz w:val="16"/>
      <w:szCs w:val="16"/>
    </w:rPr>
  </w:style>
  <w:style w:type="paragraph" w:styleId="CommentText">
    <w:name w:val="annotation text"/>
    <w:basedOn w:val="Normal"/>
    <w:link w:val="CommentTextChar"/>
    <w:uiPriority w:val="99"/>
    <w:semiHidden/>
    <w:unhideWhenUsed/>
    <w:rsid w:val="00BD69C5"/>
    <w:pPr>
      <w:spacing w:line="240" w:lineRule="auto"/>
    </w:pPr>
    <w:rPr>
      <w:sz w:val="20"/>
      <w:szCs w:val="20"/>
    </w:rPr>
  </w:style>
  <w:style w:type="character" w:customStyle="1" w:styleId="CommentTextChar">
    <w:name w:val="Comment Text Char"/>
    <w:basedOn w:val="DefaultParagraphFont"/>
    <w:link w:val="CommentText"/>
    <w:uiPriority w:val="99"/>
    <w:semiHidden/>
    <w:rsid w:val="00BD69C5"/>
    <w:rPr>
      <w:sz w:val="20"/>
      <w:szCs w:val="20"/>
    </w:rPr>
  </w:style>
  <w:style w:type="paragraph" w:styleId="CommentSubject">
    <w:name w:val="annotation subject"/>
    <w:basedOn w:val="CommentText"/>
    <w:next w:val="CommentText"/>
    <w:link w:val="CommentSubjectChar"/>
    <w:uiPriority w:val="99"/>
    <w:semiHidden/>
    <w:unhideWhenUsed/>
    <w:rsid w:val="00BD69C5"/>
    <w:rPr>
      <w:b/>
      <w:bCs/>
    </w:rPr>
  </w:style>
  <w:style w:type="character" w:customStyle="1" w:styleId="CommentSubjectChar">
    <w:name w:val="Comment Subject Char"/>
    <w:basedOn w:val="CommentTextChar"/>
    <w:link w:val="CommentSubject"/>
    <w:uiPriority w:val="99"/>
    <w:semiHidden/>
    <w:rsid w:val="00BD69C5"/>
    <w:rPr>
      <w:b/>
      <w:bCs/>
      <w:sz w:val="20"/>
      <w:szCs w:val="20"/>
    </w:rPr>
  </w:style>
  <w:style w:type="character" w:styleId="Hyperlink">
    <w:name w:val="Hyperlink"/>
    <w:basedOn w:val="DefaultParagraphFont"/>
    <w:uiPriority w:val="99"/>
    <w:unhideWhenUsed/>
    <w:rsid w:val="005F1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7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A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A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7A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7AA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E7AA1"/>
    <w:pPr>
      <w:ind w:left="720"/>
      <w:contextualSpacing/>
    </w:pPr>
  </w:style>
  <w:style w:type="paragraph" w:styleId="BalloonText">
    <w:name w:val="Balloon Text"/>
    <w:basedOn w:val="Normal"/>
    <w:link w:val="BalloonTextChar"/>
    <w:uiPriority w:val="99"/>
    <w:semiHidden/>
    <w:unhideWhenUsed/>
    <w:rsid w:val="00253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2A"/>
    <w:rPr>
      <w:rFonts w:ascii="Tahoma" w:hAnsi="Tahoma" w:cs="Tahoma"/>
      <w:sz w:val="16"/>
      <w:szCs w:val="16"/>
    </w:rPr>
  </w:style>
  <w:style w:type="character" w:styleId="CommentReference">
    <w:name w:val="annotation reference"/>
    <w:basedOn w:val="DefaultParagraphFont"/>
    <w:uiPriority w:val="99"/>
    <w:semiHidden/>
    <w:unhideWhenUsed/>
    <w:rsid w:val="00BD69C5"/>
    <w:rPr>
      <w:sz w:val="16"/>
      <w:szCs w:val="16"/>
    </w:rPr>
  </w:style>
  <w:style w:type="paragraph" w:styleId="CommentText">
    <w:name w:val="annotation text"/>
    <w:basedOn w:val="Normal"/>
    <w:link w:val="CommentTextChar"/>
    <w:uiPriority w:val="99"/>
    <w:semiHidden/>
    <w:unhideWhenUsed/>
    <w:rsid w:val="00BD69C5"/>
    <w:pPr>
      <w:spacing w:line="240" w:lineRule="auto"/>
    </w:pPr>
    <w:rPr>
      <w:sz w:val="20"/>
      <w:szCs w:val="20"/>
    </w:rPr>
  </w:style>
  <w:style w:type="character" w:customStyle="1" w:styleId="CommentTextChar">
    <w:name w:val="Comment Text Char"/>
    <w:basedOn w:val="DefaultParagraphFont"/>
    <w:link w:val="CommentText"/>
    <w:uiPriority w:val="99"/>
    <w:semiHidden/>
    <w:rsid w:val="00BD69C5"/>
    <w:rPr>
      <w:sz w:val="20"/>
      <w:szCs w:val="20"/>
    </w:rPr>
  </w:style>
  <w:style w:type="paragraph" w:styleId="CommentSubject">
    <w:name w:val="annotation subject"/>
    <w:basedOn w:val="CommentText"/>
    <w:next w:val="CommentText"/>
    <w:link w:val="CommentSubjectChar"/>
    <w:uiPriority w:val="99"/>
    <w:semiHidden/>
    <w:unhideWhenUsed/>
    <w:rsid w:val="00BD69C5"/>
    <w:rPr>
      <w:b/>
      <w:bCs/>
    </w:rPr>
  </w:style>
  <w:style w:type="character" w:customStyle="1" w:styleId="CommentSubjectChar">
    <w:name w:val="Comment Subject Char"/>
    <w:basedOn w:val="CommentTextChar"/>
    <w:link w:val="CommentSubject"/>
    <w:uiPriority w:val="99"/>
    <w:semiHidden/>
    <w:rsid w:val="00BD69C5"/>
    <w:rPr>
      <w:b/>
      <w:bCs/>
      <w:sz w:val="20"/>
      <w:szCs w:val="20"/>
    </w:rPr>
  </w:style>
  <w:style w:type="character" w:styleId="Hyperlink">
    <w:name w:val="Hyperlink"/>
    <w:basedOn w:val="DefaultParagraphFont"/>
    <w:uiPriority w:val="99"/>
    <w:unhideWhenUsed/>
    <w:rsid w:val="005F1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8466">
      <w:bodyDiv w:val="1"/>
      <w:marLeft w:val="0"/>
      <w:marRight w:val="0"/>
      <w:marTop w:val="0"/>
      <w:marBottom w:val="0"/>
      <w:divBdr>
        <w:top w:val="none" w:sz="0" w:space="0" w:color="auto"/>
        <w:left w:val="none" w:sz="0" w:space="0" w:color="auto"/>
        <w:bottom w:val="none" w:sz="0" w:space="0" w:color="auto"/>
        <w:right w:val="none" w:sz="0" w:space="0" w:color="auto"/>
      </w:divBdr>
      <w:divsChild>
        <w:div w:id="1491019128">
          <w:marLeft w:val="547"/>
          <w:marRight w:val="0"/>
          <w:marTop w:val="0"/>
          <w:marBottom w:val="0"/>
          <w:divBdr>
            <w:top w:val="none" w:sz="0" w:space="0" w:color="auto"/>
            <w:left w:val="none" w:sz="0" w:space="0" w:color="auto"/>
            <w:bottom w:val="none" w:sz="0" w:space="0" w:color="auto"/>
            <w:right w:val="none" w:sz="0" w:space="0" w:color="auto"/>
          </w:divBdr>
        </w:div>
        <w:div w:id="437725646">
          <w:marLeft w:val="547"/>
          <w:marRight w:val="0"/>
          <w:marTop w:val="0"/>
          <w:marBottom w:val="0"/>
          <w:divBdr>
            <w:top w:val="none" w:sz="0" w:space="0" w:color="auto"/>
            <w:left w:val="none" w:sz="0" w:space="0" w:color="auto"/>
            <w:bottom w:val="none" w:sz="0" w:space="0" w:color="auto"/>
            <w:right w:val="none" w:sz="0" w:space="0" w:color="auto"/>
          </w:divBdr>
        </w:div>
        <w:div w:id="622657842">
          <w:marLeft w:val="547"/>
          <w:marRight w:val="0"/>
          <w:marTop w:val="0"/>
          <w:marBottom w:val="0"/>
          <w:divBdr>
            <w:top w:val="none" w:sz="0" w:space="0" w:color="auto"/>
            <w:left w:val="none" w:sz="0" w:space="0" w:color="auto"/>
            <w:bottom w:val="none" w:sz="0" w:space="0" w:color="auto"/>
            <w:right w:val="none" w:sz="0" w:space="0" w:color="auto"/>
          </w:divBdr>
        </w:div>
        <w:div w:id="1925528313">
          <w:marLeft w:val="547"/>
          <w:marRight w:val="0"/>
          <w:marTop w:val="0"/>
          <w:marBottom w:val="0"/>
          <w:divBdr>
            <w:top w:val="none" w:sz="0" w:space="0" w:color="auto"/>
            <w:left w:val="none" w:sz="0" w:space="0" w:color="auto"/>
            <w:bottom w:val="none" w:sz="0" w:space="0" w:color="auto"/>
            <w:right w:val="none" w:sz="0" w:space="0" w:color="auto"/>
          </w:divBdr>
        </w:div>
        <w:div w:id="1214854145">
          <w:marLeft w:val="547"/>
          <w:marRight w:val="0"/>
          <w:marTop w:val="0"/>
          <w:marBottom w:val="0"/>
          <w:divBdr>
            <w:top w:val="none" w:sz="0" w:space="0" w:color="auto"/>
            <w:left w:val="none" w:sz="0" w:space="0" w:color="auto"/>
            <w:bottom w:val="none" w:sz="0" w:space="0" w:color="auto"/>
            <w:right w:val="none" w:sz="0" w:space="0" w:color="auto"/>
          </w:divBdr>
        </w:div>
        <w:div w:id="424612257">
          <w:marLeft w:val="547"/>
          <w:marRight w:val="0"/>
          <w:marTop w:val="0"/>
          <w:marBottom w:val="0"/>
          <w:divBdr>
            <w:top w:val="none" w:sz="0" w:space="0" w:color="auto"/>
            <w:left w:val="none" w:sz="0" w:space="0" w:color="auto"/>
            <w:bottom w:val="none" w:sz="0" w:space="0" w:color="auto"/>
            <w:right w:val="none" w:sz="0" w:space="0" w:color="auto"/>
          </w:divBdr>
        </w:div>
        <w:div w:id="259535521">
          <w:marLeft w:val="547"/>
          <w:marRight w:val="0"/>
          <w:marTop w:val="0"/>
          <w:marBottom w:val="0"/>
          <w:divBdr>
            <w:top w:val="none" w:sz="0" w:space="0" w:color="auto"/>
            <w:left w:val="none" w:sz="0" w:space="0" w:color="auto"/>
            <w:bottom w:val="none" w:sz="0" w:space="0" w:color="auto"/>
            <w:right w:val="none" w:sz="0" w:space="0" w:color="auto"/>
          </w:divBdr>
        </w:div>
        <w:div w:id="903181528">
          <w:marLeft w:val="547"/>
          <w:marRight w:val="0"/>
          <w:marTop w:val="0"/>
          <w:marBottom w:val="0"/>
          <w:divBdr>
            <w:top w:val="none" w:sz="0" w:space="0" w:color="auto"/>
            <w:left w:val="none" w:sz="0" w:space="0" w:color="auto"/>
            <w:bottom w:val="none" w:sz="0" w:space="0" w:color="auto"/>
            <w:right w:val="none" w:sz="0" w:space="0" w:color="auto"/>
          </w:divBdr>
        </w:div>
        <w:div w:id="2037342856">
          <w:marLeft w:val="547"/>
          <w:marRight w:val="0"/>
          <w:marTop w:val="0"/>
          <w:marBottom w:val="0"/>
          <w:divBdr>
            <w:top w:val="none" w:sz="0" w:space="0" w:color="auto"/>
            <w:left w:val="none" w:sz="0" w:space="0" w:color="auto"/>
            <w:bottom w:val="none" w:sz="0" w:space="0" w:color="auto"/>
            <w:right w:val="none" w:sz="0" w:space="0" w:color="auto"/>
          </w:divBdr>
        </w:div>
        <w:div w:id="918445627">
          <w:marLeft w:val="547"/>
          <w:marRight w:val="0"/>
          <w:marTop w:val="0"/>
          <w:marBottom w:val="0"/>
          <w:divBdr>
            <w:top w:val="none" w:sz="0" w:space="0" w:color="auto"/>
            <w:left w:val="none" w:sz="0" w:space="0" w:color="auto"/>
            <w:bottom w:val="none" w:sz="0" w:space="0" w:color="auto"/>
            <w:right w:val="none" w:sz="0" w:space="0" w:color="auto"/>
          </w:divBdr>
        </w:div>
      </w:divsChild>
    </w:div>
    <w:div w:id="19431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a/utah.gov/forms/d/e/1FAIpQLSeMte1XIKjpOM_n7opVTIa1zDIIYaNpJLguAtrxxo8zbWEoSg/viewform"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528</Words>
  <Characters>3015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The Lead and Copper Rule</vt:lpstr>
      <vt:lpstr>    Monitoring Requirements</vt:lpstr>
      <vt:lpstr>    </vt:lpstr>
      <vt:lpstr>    Sample Site Plans</vt:lpstr>
      <vt:lpstr>    Sampling Procedure Guidance for Homeowners</vt:lpstr>
      <vt:lpstr>    </vt:lpstr>
      <vt:lpstr>    Calculating Compliance</vt:lpstr>
      <vt:lpstr>    Action Level Exceedance</vt:lpstr>
      <vt:lpstr>    Additional Resources</vt:lpstr>
    </vt:vector>
  </TitlesOfParts>
  <Company>State of Utah</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Frary</dc:creator>
  <cp:lastModifiedBy>Emily Frary</cp:lastModifiedBy>
  <cp:revision>2</cp:revision>
  <dcterms:created xsi:type="dcterms:W3CDTF">2017-03-22T16:03:00Z</dcterms:created>
  <dcterms:modified xsi:type="dcterms:W3CDTF">2017-03-22T18:09:00Z</dcterms:modified>
</cp:coreProperties>
</file>